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Ulricehamn kommunfullmäktige</w:t>
      </w:r>
    </w:p>
    <w:p>
      <w:pPr>
        <w:pStyle w:val="Heading1"/>
      </w:pPr>
      <w:r>
        <w:t xml:space="preserve">Obligatorisk SFI med arbetsmarknadsanknytning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Ulricehamn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Utrikes födda har 2,5 gånger högre arbetslöshet än inrikes födda i Ulricehamn (Arbetsförmedlingen 2025). Språkbrist är största hindret. Kombinerad SFI och praktik ökar etableringen enligt Integrationsverket.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Ulricehamn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minst 15 timmars undervisning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kombinerad SFI och arbetsplatspraktik för alla nyanlända inom 3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2 nya SFI-lärartjänster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bland deltagare årligen.</w:t>
      </w:r>
    </w:p>
    <w:p>
      <w:pPr>
        <w:spacing w:before="360"/>
      </w:pPr>
    </w:p>
    <w:p>
      <w:r>
        <w:t xml:space="preserve">Ulricehamn,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Ulricehamn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2026-07-14T05:29:14.908Z</dcterms:created>
  <dcterms:modified xsi:type="dcterms:W3CDTF">2026-07-14T05:29:14.908Z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